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7E" w:rsidRDefault="0019757E" w:rsidP="0019757E"/>
    <w:p w:rsidR="0019757E" w:rsidRDefault="0019757E" w:rsidP="0019757E">
      <w:r>
        <w:t>De acuerdo al Art. 67 de la Ley Orgánica Constitucional de Municipalidades 18.695, y al Memorando N° 76/2018 de la SECPLA, envió información de la Unidad de Transparencia Municipal, según se detalla a continuación:</w:t>
      </w:r>
    </w:p>
    <w:p w:rsidR="000B6161" w:rsidRDefault="000B6161" w:rsidP="0019757E"/>
    <w:p w:rsidR="000B6161" w:rsidRPr="006232B2" w:rsidRDefault="000B6161" w:rsidP="006232B2">
      <w:pPr>
        <w:ind w:firstLine="708"/>
        <w:rPr>
          <w:b/>
        </w:rPr>
      </w:pPr>
      <w:r w:rsidRPr="006232B2">
        <w:rPr>
          <w:b/>
        </w:rPr>
        <w:t>Transparencia Activa (TA)</w:t>
      </w:r>
    </w:p>
    <w:p w:rsidR="000B6161" w:rsidRDefault="000B6161">
      <w:r>
        <w:t>Se entiende por  TA la mantención permanente al público a través</w:t>
      </w:r>
      <w:r w:rsidR="00702BE5">
        <w:t xml:space="preserve"> en</w:t>
      </w:r>
      <w:r>
        <w:t xml:space="preserve"> medios electrónicos del municipio los siguientes antecedentes, los que deben ser actualizados a lo menos una vez al mes:</w:t>
      </w:r>
    </w:p>
    <w:p w:rsidR="000B6161" w:rsidRDefault="0091391A" w:rsidP="000B6161">
      <w:pPr>
        <w:pStyle w:val="Prrafodelista"/>
        <w:numPr>
          <w:ilvl w:val="0"/>
          <w:numId w:val="1"/>
        </w:numPr>
      </w:pPr>
      <w:r>
        <w:t>Actos y documentos publicados en el Diario Oficial.</w:t>
      </w:r>
    </w:p>
    <w:p w:rsidR="0091391A" w:rsidRDefault="0091391A" w:rsidP="000B6161">
      <w:pPr>
        <w:pStyle w:val="Prrafodelista"/>
        <w:numPr>
          <w:ilvl w:val="0"/>
          <w:numId w:val="1"/>
        </w:numPr>
      </w:pPr>
      <w:r>
        <w:t>Potestades y Marco Normativo</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Estructura orgánica y facultades, funciones y atribuciones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Personal y remuneraciones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Adquisiciones y contrataciones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Transferencias de fondos y aportes económicos entregados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Actos y resoluciones con efectos sobre terceros (patentes, permisos, derechos, concesiones, concursos públicos y otros)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Trámites ante el organismo</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Subsidios y beneficios</w:t>
      </w:r>
    </w:p>
    <w:p w:rsidR="0091391A"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Mecanismos de participación ciudadana</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Presupuesto asignado y su ejecución</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Auditorías al ejercicio presupuestario y aclaraciones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Participación en otras entidades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Antecedentes preparatorios de normas jurídicas generales que afecten a empresas de menor tamaño</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Lobby y gestión de intereses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Declaración de patrimonio e intereses Ley N°20.880</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Informe Anual a la SUBDERE</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Otros Antecedentes (Concejo Municipal y Cuentas Públic</w:t>
      </w:r>
      <w:r>
        <w:rPr>
          <w:rStyle w:val="tematitle1"/>
          <w:rFonts w:asciiTheme="minorHAnsi" w:hAnsiTheme="minorHAnsi" w:cs="Arial"/>
          <w:color w:val="000000"/>
          <w:sz w:val="22"/>
          <w:szCs w:val="22"/>
        </w:rPr>
        <w:t>as)</w:t>
      </w:r>
    </w:p>
    <w:p w:rsidR="001021D8" w:rsidRDefault="001021D8" w:rsidP="004A36B1"/>
    <w:p w:rsidR="001021D8" w:rsidRDefault="001021D8" w:rsidP="00D65D1C">
      <w:pPr>
        <w:ind w:left="360"/>
      </w:pPr>
      <w:r>
        <w:t xml:space="preserve">Con fecha </w:t>
      </w:r>
      <w:r w:rsidR="001A1094">
        <w:t>13 de diciembre de 2018</w:t>
      </w:r>
      <w:r>
        <w:t xml:space="preserve"> es evacuado por parte del Consejo para la Transparencia el “Informe Fiscalización Proceso de Fiscalización “201</w:t>
      </w:r>
      <w:r w:rsidR="001A1094">
        <w:t>8</w:t>
      </w:r>
      <w:r>
        <w:t>” Municipalidad de Casablanca”, cuyos resultados son los siguientes:</w:t>
      </w:r>
    </w:p>
    <w:p w:rsidR="003A633B" w:rsidRDefault="003A633B" w:rsidP="00D65D1C">
      <w:pPr>
        <w:ind w:left="360"/>
      </w:pPr>
    </w:p>
    <w:p w:rsidR="0019757E" w:rsidRDefault="0019757E" w:rsidP="00D65D1C">
      <w:pPr>
        <w:ind w:left="360"/>
      </w:pPr>
    </w:p>
    <w:p w:rsidR="0019757E" w:rsidRDefault="0019757E" w:rsidP="00D65D1C">
      <w:pPr>
        <w:ind w:left="360"/>
      </w:pPr>
    </w:p>
    <w:p w:rsidR="0019757E" w:rsidRDefault="0019757E" w:rsidP="00D65D1C">
      <w:pPr>
        <w:ind w:left="360"/>
      </w:pPr>
    </w:p>
    <w:p w:rsidR="003A633B" w:rsidRDefault="003A633B" w:rsidP="001A1094">
      <w:pPr>
        <w:spacing w:after="0"/>
        <w:ind w:left="360"/>
      </w:pPr>
      <w:r>
        <w:t>Resultados por Materias:</w:t>
      </w:r>
    </w:p>
    <w:p w:rsidR="006232B2" w:rsidRDefault="001A1094" w:rsidP="001A1094">
      <w:pPr>
        <w:spacing w:after="0"/>
        <w:ind w:left="360"/>
      </w:pPr>
      <w:r>
        <w:rPr>
          <w:noProof/>
          <w:lang w:val="es-ES" w:eastAsia="es-ES"/>
        </w:rPr>
        <w:drawing>
          <wp:anchor distT="0" distB="0" distL="114300" distR="114300" simplePos="0" relativeHeight="251659264" behindDoc="0" locked="0" layoutInCell="1" allowOverlap="1">
            <wp:simplePos x="0" y="0"/>
            <wp:positionH relativeFrom="column">
              <wp:posOffset>-632460</wp:posOffset>
            </wp:positionH>
            <wp:positionV relativeFrom="paragraph">
              <wp:posOffset>111125</wp:posOffset>
            </wp:positionV>
            <wp:extent cx="6943725" cy="62388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43725" cy="6238875"/>
                    </a:xfrm>
                    <a:prstGeom prst="rect">
                      <a:avLst/>
                    </a:prstGeom>
                    <a:noFill/>
                    <a:ln w="9525">
                      <a:noFill/>
                      <a:miter lim="800000"/>
                      <a:headEnd/>
                      <a:tailEnd/>
                    </a:ln>
                  </pic:spPr>
                </pic:pic>
              </a:graphicData>
            </a:graphic>
          </wp:anchor>
        </w:drawing>
      </w:r>
    </w:p>
    <w:p w:rsidR="003A633B" w:rsidRDefault="003A633B" w:rsidP="001A1094">
      <w:pPr>
        <w:spacing w:after="0"/>
        <w:ind w:left="1068"/>
        <w:rPr>
          <w:sz w:val="20"/>
          <w:szCs w:val="20"/>
        </w:rPr>
      </w:pPr>
      <w:r w:rsidRPr="003A633B">
        <w:rPr>
          <w:sz w:val="20"/>
          <w:szCs w:val="20"/>
        </w:rPr>
        <w:t>Fuente: Informe Fiscalización Proceso de Fiscalización “201</w:t>
      </w:r>
      <w:r w:rsidR="001A1094">
        <w:rPr>
          <w:sz w:val="20"/>
          <w:szCs w:val="20"/>
        </w:rPr>
        <w:t>8</w:t>
      </w:r>
      <w:r w:rsidRPr="003A633B">
        <w:rPr>
          <w:sz w:val="20"/>
          <w:szCs w:val="20"/>
        </w:rPr>
        <w:t>” Municipalidad de Casablanca</w:t>
      </w:r>
    </w:p>
    <w:p w:rsidR="003A633B" w:rsidRDefault="003A633B" w:rsidP="001A1094">
      <w:pPr>
        <w:spacing w:after="0"/>
        <w:ind w:left="1068"/>
        <w:rPr>
          <w:sz w:val="20"/>
          <w:szCs w:val="20"/>
        </w:rPr>
      </w:pPr>
    </w:p>
    <w:p w:rsidR="003A633B" w:rsidRDefault="003A633B" w:rsidP="003A633B">
      <w:pPr>
        <w:spacing w:after="0"/>
        <w:ind w:left="1068"/>
        <w:rPr>
          <w:sz w:val="20"/>
          <w:szCs w:val="20"/>
        </w:rPr>
      </w:pPr>
    </w:p>
    <w:p w:rsidR="003A633B" w:rsidRPr="003A633B" w:rsidRDefault="003A633B" w:rsidP="003A633B">
      <w:pPr>
        <w:spacing w:after="0"/>
        <w:ind w:left="1068"/>
        <w:rPr>
          <w:sz w:val="20"/>
          <w:szCs w:val="20"/>
        </w:rPr>
      </w:pPr>
    </w:p>
    <w:p w:rsidR="003A633B" w:rsidRDefault="003A633B" w:rsidP="003A633B">
      <w:pPr>
        <w:spacing w:after="0"/>
        <w:ind w:left="360"/>
      </w:pPr>
    </w:p>
    <w:p w:rsidR="003A633B" w:rsidRDefault="003A633B" w:rsidP="003A633B">
      <w:pPr>
        <w:spacing w:after="0"/>
        <w:ind w:left="360"/>
      </w:pPr>
    </w:p>
    <w:p w:rsidR="0019757E" w:rsidRDefault="0019757E" w:rsidP="003A633B">
      <w:pPr>
        <w:spacing w:after="0"/>
        <w:ind w:left="360"/>
      </w:pPr>
    </w:p>
    <w:p w:rsidR="003A633B" w:rsidRDefault="001A1094" w:rsidP="003A633B">
      <w:pPr>
        <w:spacing w:after="0"/>
        <w:ind w:left="360"/>
      </w:pPr>
      <w:r>
        <w:rPr>
          <w:noProof/>
          <w:lang w:val="es-ES" w:eastAsia="es-ES"/>
        </w:rPr>
        <w:drawing>
          <wp:inline distT="0" distB="0" distL="0" distR="0">
            <wp:extent cx="5612130" cy="5651297"/>
            <wp:effectExtent l="19050" t="0" r="762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12130" cy="5651297"/>
                    </a:xfrm>
                    <a:prstGeom prst="rect">
                      <a:avLst/>
                    </a:prstGeom>
                    <a:noFill/>
                    <a:ln w="9525">
                      <a:noFill/>
                      <a:miter lim="800000"/>
                      <a:headEnd/>
                      <a:tailEnd/>
                    </a:ln>
                  </pic:spPr>
                </pic:pic>
              </a:graphicData>
            </a:graphic>
          </wp:inline>
        </w:drawing>
      </w:r>
    </w:p>
    <w:p w:rsidR="003A633B" w:rsidRPr="003A633B" w:rsidRDefault="003A633B" w:rsidP="003A633B">
      <w:pPr>
        <w:spacing w:after="0"/>
        <w:ind w:left="1068"/>
        <w:rPr>
          <w:sz w:val="20"/>
          <w:szCs w:val="20"/>
        </w:rPr>
      </w:pPr>
      <w:r w:rsidRPr="003A633B">
        <w:rPr>
          <w:sz w:val="20"/>
          <w:szCs w:val="20"/>
        </w:rPr>
        <w:t>Fuente: Informe Fiscalización Proceso de Fiscalización “201</w:t>
      </w:r>
      <w:r w:rsidR="001A1094">
        <w:rPr>
          <w:sz w:val="20"/>
          <w:szCs w:val="20"/>
        </w:rPr>
        <w:t>8</w:t>
      </w:r>
      <w:r w:rsidRPr="003A633B">
        <w:rPr>
          <w:sz w:val="20"/>
          <w:szCs w:val="20"/>
        </w:rPr>
        <w:t>” Municipalidad de Casablanca</w:t>
      </w: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3A633B" w:rsidP="00D65D1C">
      <w:pPr>
        <w:ind w:left="360"/>
      </w:pPr>
    </w:p>
    <w:p w:rsidR="003A633B" w:rsidRDefault="001A1094" w:rsidP="003A633B">
      <w:pPr>
        <w:spacing w:after="0"/>
        <w:ind w:left="360"/>
      </w:pPr>
      <w:r>
        <w:rPr>
          <w:noProof/>
          <w:lang w:val="es-ES" w:eastAsia="es-ES"/>
        </w:rPr>
        <w:drawing>
          <wp:inline distT="0" distB="0" distL="0" distR="0">
            <wp:extent cx="5612130" cy="2412280"/>
            <wp:effectExtent l="19050" t="0" r="762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12130" cy="2412280"/>
                    </a:xfrm>
                    <a:prstGeom prst="rect">
                      <a:avLst/>
                    </a:prstGeom>
                    <a:noFill/>
                    <a:ln w="9525">
                      <a:noFill/>
                      <a:miter lim="800000"/>
                      <a:headEnd/>
                      <a:tailEnd/>
                    </a:ln>
                  </pic:spPr>
                </pic:pic>
              </a:graphicData>
            </a:graphic>
          </wp:inline>
        </w:drawing>
      </w:r>
    </w:p>
    <w:p w:rsidR="003A633B" w:rsidRPr="003A633B" w:rsidRDefault="003A633B" w:rsidP="003A633B">
      <w:pPr>
        <w:spacing w:after="0"/>
        <w:ind w:left="1068"/>
        <w:rPr>
          <w:sz w:val="20"/>
          <w:szCs w:val="20"/>
        </w:rPr>
      </w:pPr>
      <w:r w:rsidRPr="003A633B">
        <w:rPr>
          <w:sz w:val="20"/>
          <w:szCs w:val="20"/>
        </w:rPr>
        <w:t>Fuente: Informe Fiscalización Proceso de Fiscalización “201</w:t>
      </w:r>
      <w:r w:rsidR="008E04AC">
        <w:rPr>
          <w:sz w:val="20"/>
          <w:szCs w:val="20"/>
        </w:rPr>
        <w:t>8</w:t>
      </w:r>
      <w:r w:rsidRPr="003A633B">
        <w:rPr>
          <w:sz w:val="20"/>
          <w:szCs w:val="20"/>
        </w:rPr>
        <w:t>” Municipalidad de Casablanca</w:t>
      </w:r>
    </w:p>
    <w:p w:rsidR="006232B2" w:rsidRDefault="006232B2" w:rsidP="003A633B">
      <w:pPr>
        <w:spacing w:after="0"/>
        <w:ind w:left="360"/>
      </w:pPr>
    </w:p>
    <w:p w:rsidR="003A633B" w:rsidRDefault="003A633B" w:rsidP="00D65D1C">
      <w:pPr>
        <w:ind w:left="360"/>
      </w:pPr>
    </w:p>
    <w:p w:rsidR="004A36B1" w:rsidRDefault="003A633B" w:rsidP="00D65D1C">
      <w:pPr>
        <w:ind w:left="360"/>
      </w:pPr>
      <w:r>
        <w:t>Los resultados obtenidos en dicha fiscalización, son gracias al cumplimiento que tienen las diferentes unidades municipales, tanto en elaboración como envío de antecedentes para el levantamiento por parte de la Unidad de Transparencia al portal.</w:t>
      </w: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4A36B1" w:rsidRDefault="004A36B1" w:rsidP="00D65D1C">
      <w:pPr>
        <w:ind w:left="360"/>
      </w:pPr>
    </w:p>
    <w:p w:rsidR="008E04AC" w:rsidRDefault="008E04AC" w:rsidP="00D65D1C">
      <w:pPr>
        <w:ind w:left="360"/>
      </w:pPr>
    </w:p>
    <w:p w:rsidR="004A36B1" w:rsidRDefault="004A36B1" w:rsidP="00D65D1C">
      <w:pPr>
        <w:ind w:left="360"/>
      </w:pPr>
    </w:p>
    <w:p w:rsidR="004A36B1" w:rsidRDefault="004A36B1" w:rsidP="00D65D1C">
      <w:pPr>
        <w:ind w:left="360"/>
      </w:pPr>
    </w:p>
    <w:p w:rsidR="004C074A" w:rsidRPr="006232B2" w:rsidRDefault="004C074A" w:rsidP="004C074A">
      <w:pPr>
        <w:ind w:left="360" w:firstLine="348"/>
        <w:rPr>
          <w:b/>
        </w:rPr>
      </w:pPr>
      <w:r w:rsidRPr="006232B2">
        <w:rPr>
          <w:b/>
        </w:rPr>
        <w:lastRenderedPageBreak/>
        <w:t xml:space="preserve">Derecho de Acceso a la Información </w:t>
      </w:r>
    </w:p>
    <w:p w:rsidR="004C074A" w:rsidRDefault="004C074A" w:rsidP="004C074A">
      <w:pPr>
        <w:ind w:left="360"/>
      </w:pPr>
      <w:r>
        <w:t>Tal como describe su nombre es el Derecho de acceder a las informaciones contenidas en actos, resoluciones, actas, expedientes, contratos y acuerdos, así como a toda información elaborada con presupuesto público, cualquiera sea el formato o soporte en que se contenga, salvo las excepciones legales.</w:t>
      </w:r>
    </w:p>
    <w:p w:rsidR="001D6238" w:rsidRDefault="001D6238" w:rsidP="00D65D1C">
      <w:pPr>
        <w:ind w:left="360"/>
      </w:pPr>
    </w:p>
    <w:p w:rsidR="006232B2" w:rsidRDefault="004C074A" w:rsidP="00D65D1C">
      <w:pPr>
        <w:ind w:left="360"/>
      </w:pPr>
      <w:r>
        <w:t xml:space="preserve">Durante el </w:t>
      </w:r>
      <w:r w:rsidR="008E04AC">
        <w:t>año 2018</w:t>
      </w:r>
      <w:r>
        <w:t xml:space="preserve"> fueron recibidas </w:t>
      </w:r>
      <w:r w:rsidR="006232B2">
        <w:t xml:space="preserve">un total </w:t>
      </w:r>
      <w:r w:rsidR="008E04AC">
        <w:t>de 187</w:t>
      </w:r>
      <w:r w:rsidR="006232B2">
        <w:t xml:space="preserve"> Solicitudes de Acceso a la Información (SAI), cuyo tratamiento ha sido el siguiente:</w:t>
      </w:r>
    </w:p>
    <w:p w:rsidR="004A36B1" w:rsidRDefault="004A36B1" w:rsidP="00D65D1C">
      <w:pPr>
        <w:ind w:left="360"/>
      </w:pPr>
    </w:p>
    <w:tbl>
      <w:tblPr>
        <w:tblStyle w:val="Tablaconcuadrcula"/>
        <w:tblW w:w="0" w:type="auto"/>
        <w:tblInd w:w="1462" w:type="dxa"/>
        <w:tblLook w:val="04A0"/>
      </w:tblPr>
      <w:tblGrid>
        <w:gridCol w:w="2306"/>
        <w:gridCol w:w="2306"/>
        <w:gridCol w:w="2460"/>
      </w:tblGrid>
      <w:tr w:rsidR="002F1C09" w:rsidTr="004A36B1">
        <w:tc>
          <w:tcPr>
            <w:tcW w:w="2306" w:type="dxa"/>
            <w:shd w:val="clear" w:color="auto" w:fill="548DD4" w:themeFill="text2" w:themeFillTint="99"/>
          </w:tcPr>
          <w:p w:rsidR="002F1C09" w:rsidRPr="00214238" w:rsidRDefault="002F1C09" w:rsidP="004A36B1">
            <w:pPr>
              <w:jc w:val="center"/>
              <w:rPr>
                <w:b/>
                <w:color w:val="FFFFFF" w:themeColor="background1"/>
              </w:rPr>
            </w:pPr>
            <w:r w:rsidRPr="00214238">
              <w:rPr>
                <w:b/>
                <w:color w:val="FFFFFF" w:themeColor="background1"/>
              </w:rPr>
              <w:t>Estado</w:t>
            </w:r>
          </w:p>
        </w:tc>
        <w:tc>
          <w:tcPr>
            <w:tcW w:w="2306" w:type="dxa"/>
            <w:shd w:val="clear" w:color="auto" w:fill="548DD4" w:themeFill="text2" w:themeFillTint="99"/>
          </w:tcPr>
          <w:p w:rsidR="002F1C09" w:rsidRPr="00214238" w:rsidRDefault="008E04AC" w:rsidP="00214238">
            <w:pPr>
              <w:jc w:val="center"/>
              <w:rPr>
                <w:b/>
                <w:color w:val="FFFFFF" w:themeColor="background1"/>
              </w:rPr>
            </w:pPr>
            <w:r>
              <w:rPr>
                <w:b/>
                <w:color w:val="FFFFFF" w:themeColor="background1"/>
              </w:rPr>
              <w:t>SAI 2017</w:t>
            </w:r>
            <w:r w:rsidR="002F1C09">
              <w:rPr>
                <w:b/>
                <w:color w:val="FFFFFF" w:themeColor="background1"/>
              </w:rPr>
              <w:t xml:space="preserve"> </w:t>
            </w:r>
          </w:p>
        </w:tc>
        <w:tc>
          <w:tcPr>
            <w:tcW w:w="2460" w:type="dxa"/>
            <w:shd w:val="clear" w:color="auto" w:fill="548DD4" w:themeFill="text2" w:themeFillTint="99"/>
          </w:tcPr>
          <w:p w:rsidR="002F1C09" w:rsidRPr="00214238" w:rsidRDefault="002F1C09" w:rsidP="00214238">
            <w:pPr>
              <w:jc w:val="center"/>
              <w:rPr>
                <w:b/>
                <w:color w:val="FFFFFF" w:themeColor="background1"/>
              </w:rPr>
            </w:pPr>
            <w:r w:rsidRPr="00214238">
              <w:rPr>
                <w:b/>
                <w:color w:val="FFFFFF" w:themeColor="background1"/>
              </w:rPr>
              <w:t>SAI</w:t>
            </w:r>
            <w:r>
              <w:rPr>
                <w:b/>
                <w:color w:val="FFFFFF" w:themeColor="background1"/>
              </w:rPr>
              <w:t xml:space="preserve"> 201</w:t>
            </w:r>
            <w:r w:rsidR="008E04AC">
              <w:rPr>
                <w:b/>
                <w:color w:val="FFFFFF" w:themeColor="background1"/>
              </w:rPr>
              <w:t>8</w:t>
            </w:r>
          </w:p>
        </w:tc>
      </w:tr>
      <w:tr w:rsidR="008E04AC" w:rsidTr="004A36B1">
        <w:tc>
          <w:tcPr>
            <w:tcW w:w="2306" w:type="dxa"/>
          </w:tcPr>
          <w:p w:rsidR="008E04AC" w:rsidRDefault="008E04AC" w:rsidP="004A36B1">
            <w:r>
              <w:t xml:space="preserve">Ingresadas </w:t>
            </w:r>
          </w:p>
        </w:tc>
        <w:tc>
          <w:tcPr>
            <w:tcW w:w="2306" w:type="dxa"/>
          </w:tcPr>
          <w:p w:rsidR="008E04AC" w:rsidRDefault="008E04AC" w:rsidP="00BB04E5">
            <w:pPr>
              <w:jc w:val="center"/>
            </w:pPr>
            <w:r>
              <w:t>143</w:t>
            </w:r>
          </w:p>
        </w:tc>
        <w:tc>
          <w:tcPr>
            <w:tcW w:w="2460" w:type="dxa"/>
          </w:tcPr>
          <w:p w:rsidR="008E04AC" w:rsidRDefault="008E04AC" w:rsidP="002F1C09">
            <w:pPr>
              <w:jc w:val="center"/>
            </w:pPr>
            <w:r>
              <w:t>187</w:t>
            </w:r>
          </w:p>
        </w:tc>
      </w:tr>
      <w:tr w:rsidR="008E04AC" w:rsidTr="004A36B1">
        <w:tc>
          <w:tcPr>
            <w:tcW w:w="2306" w:type="dxa"/>
          </w:tcPr>
          <w:p w:rsidR="008E04AC" w:rsidRDefault="008E04AC" w:rsidP="004A36B1">
            <w:r>
              <w:t>Respuesta Entregada</w:t>
            </w:r>
          </w:p>
        </w:tc>
        <w:tc>
          <w:tcPr>
            <w:tcW w:w="2306" w:type="dxa"/>
          </w:tcPr>
          <w:p w:rsidR="008E04AC" w:rsidRDefault="008E04AC" w:rsidP="00A5350D">
            <w:pPr>
              <w:jc w:val="center"/>
            </w:pPr>
            <w:r>
              <w:t>1</w:t>
            </w:r>
            <w:r w:rsidR="00A5350D">
              <w:t>28</w:t>
            </w:r>
          </w:p>
        </w:tc>
        <w:tc>
          <w:tcPr>
            <w:tcW w:w="2460" w:type="dxa"/>
          </w:tcPr>
          <w:p w:rsidR="008E04AC" w:rsidRDefault="008E04AC" w:rsidP="002F1C09">
            <w:pPr>
              <w:jc w:val="center"/>
            </w:pPr>
            <w:r>
              <w:t>172</w:t>
            </w:r>
          </w:p>
        </w:tc>
      </w:tr>
      <w:tr w:rsidR="008E04AC" w:rsidTr="004A36B1">
        <w:tc>
          <w:tcPr>
            <w:tcW w:w="2306" w:type="dxa"/>
          </w:tcPr>
          <w:p w:rsidR="008E04AC" w:rsidRDefault="008E04AC" w:rsidP="004A36B1">
            <w:r>
              <w:t>Desistida</w:t>
            </w:r>
          </w:p>
        </w:tc>
        <w:tc>
          <w:tcPr>
            <w:tcW w:w="2306" w:type="dxa"/>
          </w:tcPr>
          <w:p w:rsidR="008E04AC" w:rsidRDefault="00A5350D" w:rsidP="00BB04E5">
            <w:pPr>
              <w:jc w:val="center"/>
            </w:pPr>
            <w:r>
              <w:t>7</w:t>
            </w:r>
          </w:p>
        </w:tc>
        <w:tc>
          <w:tcPr>
            <w:tcW w:w="2460" w:type="dxa"/>
          </w:tcPr>
          <w:p w:rsidR="008E04AC" w:rsidRDefault="008E04AC" w:rsidP="002F1C09">
            <w:pPr>
              <w:jc w:val="center"/>
            </w:pPr>
            <w:r>
              <w:t>8</w:t>
            </w:r>
          </w:p>
        </w:tc>
      </w:tr>
      <w:tr w:rsidR="008E04AC" w:rsidTr="004A36B1">
        <w:tc>
          <w:tcPr>
            <w:tcW w:w="2306" w:type="dxa"/>
          </w:tcPr>
          <w:p w:rsidR="008E04AC" w:rsidRDefault="008E04AC" w:rsidP="004A36B1">
            <w:r>
              <w:t xml:space="preserve">Anulada </w:t>
            </w:r>
          </w:p>
        </w:tc>
        <w:tc>
          <w:tcPr>
            <w:tcW w:w="2306" w:type="dxa"/>
          </w:tcPr>
          <w:p w:rsidR="008E04AC" w:rsidRDefault="00A5350D" w:rsidP="00BB04E5">
            <w:pPr>
              <w:jc w:val="center"/>
            </w:pPr>
            <w:r>
              <w:t>7</w:t>
            </w:r>
          </w:p>
        </w:tc>
        <w:tc>
          <w:tcPr>
            <w:tcW w:w="2460" w:type="dxa"/>
          </w:tcPr>
          <w:p w:rsidR="008E04AC" w:rsidRDefault="008E04AC" w:rsidP="002F1C09">
            <w:pPr>
              <w:jc w:val="center"/>
            </w:pPr>
            <w:r>
              <w:t>5</w:t>
            </w:r>
          </w:p>
        </w:tc>
      </w:tr>
      <w:tr w:rsidR="008E04AC" w:rsidTr="004A36B1">
        <w:tc>
          <w:tcPr>
            <w:tcW w:w="2306" w:type="dxa"/>
          </w:tcPr>
          <w:p w:rsidR="008E04AC" w:rsidRDefault="008E04AC" w:rsidP="004A36B1">
            <w:r>
              <w:t>Derivada</w:t>
            </w:r>
          </w:p>
        </w:tc>
        <w:tc>
          <w:tcPr>
            <w:tcW w:w="2306" w:type="dxa"/>
          </w:tcPr>
          <w:p w:rsidR="008E04AC" w:rsidRDefault="00A5350D" w:rsidP="00BB04E5">
            <w:pPr>
              <w:jc w:val="center"/>
            </w:pPr>
            <w:r>
              <w:t>0</w:t>
            </w:r>
          </w:p>
        </w:tc>
        <w:tc>
          <w:tcPr>
            <w:tcW w:w="2460" w:type="dxa"/>
          </w:tcPr>
          <w:p w:rsidR="008E04AC" w:rsidRDefault="008E04AC" w:rsidP="002F1C09">
            <w:pPr>
              <w:jc w:val="center"/>
            </w:pPr>
            <w:r>
              <w:t>2</w:t>
            </w:r>
          </w:p>
        </w:tc>
      </w:tr>
      <w:tr w:rsidR="00A5350D" w:rsidTr="004A36B1">
        <w:tc>
          <w:tcPr>
            <w:tcW w:w="2306" w:type="dxa"/>
          </w:tcPr>
          <w:p w:rsidR="00A5350D" w:rsidRDefault="00A5350D" w:rsidP="004A36B1">
            <w:r>
              <w:t>Espera de derechos de cobro</w:t>
            </w:r>
          </w:p>
        </w:tc>
        <w:tc>
          <w:tcPr>
            <w:tcW w:w="2306" w:type="dxa"/>
          </w:tcPr>
          <w:p w:rsidR="00A5350D" w:rsidRDefault="00A5350D" w:rsidP="00BB04E5">
            <w:pPr>
              <w:jc w:val="center"/>
            </w:pPr>
            <w:r>
              <w:t>1</w:t>
            </w:r>
          </w:p>
        </w:tc>
        <w:tc>
          <w:tcPr>
            <w:tcW w:w="2460" w:type="dxa"/>
          </w:tcPr>
          <w:p w:rsidR="00A5350D" w:rsidRDefault="00A5350D" w:rsidP="002F1C09">
            <w:pPr>
              <w:jc w:val="center"/>
            </w:pPr>
            <w:r>
              <w:t>0</w:t>
            </w:r>
          </w:p>
        </w:tc>
      </w:tr>
    </w:tbl>
    <w:p w:rsidR="006232B2" w:rsidRDefault="00702BE5" w:rsidP="00D65D1C">
      <w:pPr>
        <w:ind w:left="360"/>
        <w:rPr>
          <w:sz w:val="20"/>
          <w:szCs w:val="20"/>
        </w:rPr>
      </w:pPr>
      <w:r>
        <w:tab/>
      </w:r>
      <w:r>
        <w:tab/>
      </w:r>
      <w:r w:rsidRPr="00214238">
        <w:rPr>
          <w:sz w:val="20"/>
          <w:szCs w:val="20"/>
        </w:rPr>
        <w:t>Fuente: Portal de Transparencia</w:t>
      </w:r>
    </w:p>
    <w:p w:rsidR="004A36B1" w:rsidRDefault="004A36B1" w:rsidP="00E93B5F">
      <w:pPr>
        <w:ind w:left="360"/>
        <w:jc w:val="center"/>
        <w:rPr>
          <w:noProof/>
        </w:rPr>
      </w:pPr>
    </w:p>
    <w:p w:rsidR="00CF4E58" w:rsidRDefault="00A5350D" w:rsidP="00E93B5F">
      <w:pPr>
        <w:ind w:left="360"/>
        <w:jc w:val="center"/>
        <w:rPr>
          <w:noProof/>
        </w:rPr>
      </w:pPr>
      <w:r w:rsidRPr="00A5350D">
        <w:rPr>
          <w:noProof/>
        </w:rPr>
        <w:drawing>
          <wp:inline distT="0" distB="0" distL="0" distR="0">
            <wp:extent cx="4572000" cy="2743200"/>
            <wp:effectExtent l="19050" t="0" r="19050" b="0"/>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3B5F" w:rsidRDefault="00E93B5F" w:rsidP="00E93B5F">
      <w:pPr>
        <w:ind w:left="360"/>
        <w:jc w:val="center"/>
        <w:rPr>
          <w:sz w:val="20"/>
          <w:szCs w:val="20"/>
        </w:rPr>
      </w:pPr>
    </w:p>
    <w:p w:rsidR="004A36B1" w:rsidRDefault="004A36B1" w:rsidP="00D65D1C">
      <w:pPr>
        <w:ind w:left="360"/>
        <w:rPr>
          <w:sz w:val="20"/>
          <w:szCs w:val="20"/>
        </w:rPr>
      </w:pPr>
    </w:p>
    <w:p w:rsidR="0019757E" w:rsidRDefault="0019757E" w:rsidP="00D65D1C">
      <w:pPr>
        <w:ind w:left="360"/>
      </w:pPr>
    </w:p>
    <w:p w:rsidR="00BF38A0" w:rsidRDefault="00BF38A0" w:rsidP="00D65D1C">
      <w:pPr>
        <w:ind w:left="360"/>
      </w:pPr>
      <w:r>
        <w:lastRenderedPageBreak/>
        <w:t>Cumplimiento por Unidades</w:t>
      </w:r>
      <w:r w:rsidR="00437A1A">
        <w:t>, según información requerida:</w:t>
      </w:r>
    </w:p>
    <w:p w:rsidR="00BF38A0" w:rsidRDefault="00BF38A0" w:rsidP="00D65D1C">
      <w:pPr>
        <w:ind w:left="360"/>
      </w:pPr>
    </w:p>
    <w:tbl>
      <w:tblPr>
        <w:tblW w:w="6186" w:type="dxa"/>
        <w:tblInd w:w="1329" w:type="dxa"/>
        <w:tblCellMar>
          <w:left w:w="70" w:type="dxa"/>
          <w:right w:w="70" w:type="dxa"/>
        </w:tblCellMar>
        <w:tblLook w:val="04A0"/>
      </w:tblPr>
      <w:tblGrid>
        <w:gridCol w:w="3414"/>
        <w:gridCol w:w="186"/>
        <w:gridCol w:w="186"/>
        <w:gridCol w:w="1200"/>
        <w:gridCol w:w="1200"/>
      </w:tblGrid>
      <w:tr w:rsidR="006B5E68" w:rsidRPr="006B5E68" w:rsidTr="006B5E68">
        <w:trPr>
          <w:trHeight w:val="300"/>
        </w:trPr>
        <w:tc>
          <w:tcPr>
            <w:tcW w:w="3786" w:type="dxa"/>
            <w:gridSpan w:val="3"/>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eastAsia="es-ES"/>
              </w:rPr>
              <w:t>Unidad</w:t>
            </w:r>
          </w:p>
        </w:tc>
        <w:tc>
          <w:tcPr>
            <w:tcW w:w="1200"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eastAsia="es-ES"/>
              </w:rPr>
              <w:t>Año 2017</w:t>
            </w:r>
          </w:p>
        </w:tc>
        <w:tc>
          <w:tcPr>
            <w:tcW w:w="1200"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val="es-ES" w:eastAsia="es-ES"/>
              </w:rPr>
              <w:t>Año 2018</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Dirección de Administración y Finanzas</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15</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11</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Asesoría Jurídica</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6</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5</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DIDECO</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30</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18</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Departamento de Educación</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17</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Dirección de Salud</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7</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2</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Dirección de Tránsito</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4</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5</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Dirección de Aseo y Ornato</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13</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16</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DOM</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18</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9</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RRHH</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19</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8</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RRPP</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3</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3</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SECPLA</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4</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3</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Dirección de Control</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Secretaría Municipal</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8</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0</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Administración Municipal</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0</w:t>
            </w:r>
          </w:p>
        </w:tc>
      </w:tr>
      <w:tr w:rsidR="006B5E68" w:rsidRPr="006B5E68" w:rsidTr="006B5E68">
        <w:trPr>
          <w:trHeight w:val="300"/>
        </w:trPr>
        <w:tc>
          <w:tcPr>
            <w:tcW w:w="3786" w:type="dxa"/>
            <w:gridSpan w:val="3"/>
            <w:tcBorders>
              <w:top w:val="nil"/>
              <w:left w:val="nil"/>
              <w:bottom w:val="nil"/>
              <w:right w:val="nil"/>
            </w:tcBorders>
            <w:shd w:val="clear" w:color="auto" w:fill="auto"/>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Juzgado de Policía Local</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1</w:t>
            </w:r>
          </w:p>
        </w:tc>
        <w:tc>
          <w:tcPr>
            <w:tcW w:w="1200" w:type="dxa"/>
            <w:tcBorders>
              <w:top w:val="nil"/>
              <w:left w:val="nil"/>
              <w:bottom w:val="nil"/>
              <w:right w:val="nil"/>
            </w:tcBorders>
            <w:shd w:val="clear" w:color="auto" w:fill="auto"/>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2</w:t>
            </w:r>
          </w:p>
        </w:tc>
      </w:tr>
      <w:tr w:rsidR="006B5E68" w:rsidRPr="006B5E68" w:rsidTr="006B5E68">
        <w:trPr>
          <w:trHeight w:val="300"/>
        </w:trPr>
        <w:tc>
          <w:tcPr>
            <w:tcW w:w="3786" w:type="dxa"/>
            <w:gridSpan w:val="3"/>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Seguridad Pública</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eastAsia="es-ES"/>
              </w:rPr>
              <w:t>0</w:t>
            </w:r>
          </w:p>
        </w:tc>
        <w:tc>
          <w:tcPr>
            <w:tcW w:w="1200" w:type="dxa"/>
            <w:tcBorders>
              <w:top w:val="nil"/>
              <w:left w:val="nil"/>
              <w:bottom w:val="nil"/>
              <w:right w:val="nil"/>
            </w:tcBorders>
            <w:shd w:val="clear" w:color="000000" w:fill="DBE5F1"/>
            <w:noWrap/>
            <w:vAlign w:val="bottom"/>
            <w:hideMark/>
          </w:tcPr>
          <w:p w:rsidR="006B5E68" w:rsidRPr="006B5E68" w:rsidRDefault="006B5E68" w:rsidP="006B5E68">
            <w:pPr>
              <w:spacing w:after="0" w:line="240" w:lineRule="auto"/>
              <w:jc w:val="center"/>
              <w:rPr>
                <w:rFonts w:ascii="Calibri" w:eastAsia="Times New Roman" w:hAnsi="Calibri" w:cs="Times New Roman"/>
                <w:color w:val="000000"/>
                <w:sz w:val="20"/>
                <w:szCs w:val="20"/>
                <w:lang w:val="es-ES" w:eastAsia="es-ES"/>
              </w:rPr>
            </w:pPr>
            <w:r w:rsidRPr="006B5E68">
              <w:rPr>
                <w:rFonts w:ascii="Calibri" w:eastAsia="Times New Roman" w:hAnsi="Calibri" w:cs="Times New Roman"/>
                <w:color w:val="000000"/>
                <w:sz w:val="20"/>
                <w:szCs w:val="20"/>
                <w:lang w:val="es-ES" w:eastAsia="es-ES"/>
              </w:rPr>
              <w:t>2</w:t>
            </w:r>
          </w:p>
        </w:tc>
      </w:tr>
      <w:tr w:rsidR="006B5E68" w:rsidRPr="006B5E68" w:rsidTr="006B5E68">
        <w:trPr>
          <w:trHeight w:val="300"/>
        </w:trPr>
        <w:tc>
          <w:tcPr>
            <w:tcW w:w="3414"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eastAsia="es-ES"/>
              </w:rPr>
              <w:t>Total SAI Gestionadas por unidad</w:t>
            </w:r>
          </w:p>
        </w:tc>
        <w:tc>
          <w:tcPr>
            <w:tcW w:w="186"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val="es-ES" w:eastAsia="es-ES"/>
              </w:rPr>
              <w:t> </w:t>
            </w:r>
          </w:p>
        </w:tc>
        <w:tc>
          <w:tcPr>
            <w:tcW w:w="186"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eastAsia="es-ES"/>
              </w:rPr>
              <w:t> </w:t>
            </w:r>
          </w:p>
        </w:tc>
        <w:tc>
          <w:tcPr>
            <w:tcW w:w="1200"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val="es-ES" w:eastAsia="es-ES"/>
              </w:rPr>
              <w:t>147</w:t>
            </w:r>
          </w:p>
        </w:tc>
        <w:tc>
          <w:tcPr>
            <w:tcW w:w="1200" w:type="dxa"/>
            <w:tcBorders>
              <w:top w:val="nil"/>
              <w:left w:val="nil"/>
              <w:bottom w:val="nil"/>
              <w:right w:val="nil"/>
            </w:tcBorders>
            <w:shd w:val="clear" w:color="000000" w:fill="4F81BD"/>
            <w:noWrap/>
            <w:vAlign w:val="bottom"/>
            <w:hideMark/>
          </w:tcPr>
          <w:p w:rsidR="006B5E68" w:rsidRPr="006B5E68" w:rsidRDefault="006B5E68" w:rsidP="006B5E68">
            <w:pPr>
              <w:spacing w:after="0" w:line="240" w:lineRule="auto"/>
              <w:jc w:val="center"/>
              <w:rPr>
                <w:rFonts w:ascii="Calibri" w:eastAsia="Times New Roman" w:hAnsi="Calibri" w:cs="Times New Roman"/>
                <w:b/>
                <w:bCs/>
                <w:color w:val="FFFFFF"/>
                <w:sz w:val="20"/>
                <w:szCs w:val="20"/>
                <w:lang w:val="es-ES" w:eastAsia="es-ES"/>
              </w:rPr>
            </w:pPr>
            <w:r w:rsidRPr="006B5E68">
              <w:rPr>
                <w:rFonts w:ascii="Calibri" w:eastAsia="Times New Roman" w:hAnsi="Calibri" w:cs="Times New Roman"/>
                <w:b/>
                <w:bCs/>
                <w:color w:val="FFFFFF"/>
                <w:sz w:val="20"/>
                <w:szCs w:val="20"/>
                <w:lang w:val="es-ES" w:eastAsia="es-ES"/>
              </w:rPr>
              <w:t>86</w:t>
            </w:r>
          </w:p>
        </w:tc>
      </w:tr>
    </w:tbl>
    <w:p w:rsidR="00BF38A0" w:rsidRDefault="00BF38A0" w:rsidP="00E93B5F">
      <w:pPr>
        <w:ind w:left="360"/>
        <w:jc w:val="center"/>
      </w:pPr>
    </w:p>
    <w:p w:rsidR="006B5E68" w:rsidRDefault="006B5E68" w:rsidP="00E93B5F">
      <w:pPr>
        <w:ind w:left="360"/>
        <w:jc w:val="center"/>
      </w:pPr>
    </w:p>
    <w:p w:rsidR="00E93B5F" w:rsidRDefault="006B5E68" w:rsidP="00E93B5F">
      <w:pPr>
        <w:ind w:left="360"/>
        <w:jc w:val="center"/>
      </w:pPr>
      <w:r w:rsidRPr="006B5E68">
        <w:drawing>
          <wp:inline distT="0" distB="0" distL="0" distR="0">
            <wp:extent cx="4572000" cy="2743200"/>
            <wp:effectExtent l="19050" t="0" r="19050" b="0"/>
            <wp:docPr id="1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633B" w:rsidRDefault="003A633B" w:rsidP="00D65D1C">
      <w:pPr>
        <w:ind w:left="360"/>
      </w:pPr>
    </w:p>
    <w:p w:rsidR="00BF38A0" w:rsidRDefault="00BF38A0" w:rsidP="00D65D1C">
      <w:pPr>
        <w:ind w:left="360"/>
      </w:pPr>
    </w:p>
    <w:p w:rsidR="00235932" w:rsidRDefault="00235932" w:rsidP="00D65D1C">
      <w:pPr>
        <w:ind w:left="360"/>
      </w:pPr>
      <w:r>
        <w:lastRenderedPageBreak/>
        <w:t>Todas las Solicitudes de Acceso a la Información han sido respondidas en los plazos establecidos de acuerdo a las normativas</w:t>
      </w:r>
      <w:r w:rsidR="00214238">
        <w:t xml:space="preserve"> vigentes.</w:t>
      </w:r>
    </w:p>
    <w:p w:rsidR="00702BE5" w:rsidRDefault="00702BE5" w:rsidP="00D65D1C">
      <w:pPr>
        <w:ind w:left="360"/>
      </w:pPr>
    </w:p>
    <w:p w:rsidR="00702BE5" w:rsidRDefault="00702BE5" w:rsidP="00D65D1C">
      <w:pPr>
        <w:ind w:left="360"/>
      </w:pPr>
      <w:r>
        <w:t xml:space="preserve">En cuanto a los puntajes obtenidos </w:t>
      </w:r>
      <w:r w:rsidR="00214238">
        <w:t>de la fiscalización realizada a</w:t>
      </w:r>
      <w:r>
        <w:t xml:space="preserve"> Derecho de Acceso a la Información los resultados son los siguientes:</w:t>
      </w:r>
    </w:p>
    <w:p w:rsidR="00235932" w:rsidRDefault="006B5E68" w:rsidP="00235932">
      <w:pPr>
        <w:spacing w:after="0" w:line="240" w:lineRule="auto"/>
        <w:ind w:left="360"/>
      </w:pPr>
      <w:r>
        <w:rPr>
          <w:noProof/>
          <w:lang w:val="es-ES" w:eastAsia="es-ES"/>
        </w:rPr>
        <w:drawing>
          <wp:inline distT="0" distB="0" distL="0" distR="0">
            <wp:extent cx="5612130" cy="1404952"/>
            <wp:effectExtent l="19050" t="0" r="762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612130" cy="1404952"/>
                    </a:xfrm>
                    <a:prstGeom prst="rect">
                      <a:avLst/>
                    </a:prstGeom>
                    <a:noFill/>
                    <a:ln w="9525">
                      <a:noFill/>
                      <a:miter lim="800000"/>
                      <a:headEnd/>
                      <a:tailEnd/>
                    </a:ln>
                  </pic:spPr>
                </pic:pic>
              </a:graphicData>
            </a:graphic>
          </wp:inline>
        </w:drawing>
      </w:r>
    </w:p>
    <w:p w:rsidR="00235932" w:rsidRDefault="00235932" w:rsidP="00235932">
      <w:pPr>
        <w:spacing w:after="0" w:line="240" w:lineRule="auto"/>
        <w:ind w:left="708"/>
        <w:rPr>
          <w:sz w:val="20"/>
          <w:szCs w:val="20"/>
        </w:rPr>
      </w:pPr>
      <w:r w:rsidRPr="00235932">
        <w:rPr>
          <w:sz w:val="20"/>
          <w:szCs w:val="20"/>
        </w:rPr>
        <w:t xml:space="preserve">Fuente: Informe de fiscalización Derecho de Acceso a la Información, de fecha </w:t>
      </w:r>
      <w:r w:rsidR="006B5E68">
        <w:rPr>
          <w:sz w:val="20"/>
          <w:szCs w:val="20"/>
        </w:rPr>
        <w:t>16 de Octubre de 2018</w:t>
      </w:r>
    </w:p>
    <w:p w:rsidR="00235932" w:rsidRDefault="00235932" w:rsidP="00235932">
      <w:pPr>
        <w:spacing w:after="0" w:line="240" w:lineRule="auto"/>
        <w:rPr>
          <w:sz w:val="20"/>
          <w:szCs w:val="20"/>
        </w:rPr>
      </w:pPr>
    </w:p>
    <w:p w:rsidR="004A36B1" w:rsidRDefault="004A36B1" w:rsidP="00235932">
      <w:pPr>
        <w:spacing w:after="0" w:line="240" w:lineRule="auto"/>
        <w:rPr>
          <w:sz w:val="20"/>
          <w:szCs w:val="20"/>
        </w:rPr>
      </w:pPr>
    </w:p>
    <w:p w:rsidR="004A36B1" w:rsidRDefault="004A36B1" w:rsidP="00235932">
      <w:pPr>
        <w:spacing w:after="0" w:line="240" w:lineRule="auto"/>
        <w:rPr>
          <w:sz w:val="20"/>
          <w:szCs w:val="20"/>
        </w:rPr>
      </w:pPr>
    </w:p>
    <w:p w:rsidR="00235932" w:rsidRPr="00214238" w:rsidRDefault="00235932" w:rsidP="00235932">
      <w:pPr>
        <w:spacing w:after="0" w:line="240" w:lineRule="auto"/>
      </w:pPr>
      <w:r w:rsidRPr="00214238">
        <w:t>Puntajes históricos en Solicitudes de Acceso a la Información:</w:t>
      </w:r>
    </w:p>
    <w:p w:rsidR="00235932" w:rsidRPr="00235932" w:rsidRDefault="00235932" w:rsidP="00235932">
      <w:pPr>
        <w:spacing w:after="0" w:line="240" w:lineRule="auto"/>
        <w:rPr>
          <w:sz w:val="20"/>
          <w:szCs w:val="20"/>
        </w:rPr>
      </w:pPr>
    </w:p>
    <w:p w:rsidR="00235932" w:rsidRDefault="006B5E68" w:rsidP="00235932">
      <w:pPr>
        <w:spacing w:after="0"/>
        <w:ind w:left="360"/>
      </w:pPr>
      <w:r>
        <w:rPr>
          <w:noProof/>
          <w:lang w:val="es-ES" w:eastAsia="es-ES"/>
        </w:rPr>
        <w:drawing>
          <wp:inline distT="0" distB="0" distL="0" distR="0">
            <wp:extent cx="5612130" cy="2141976"/>
            <wp:effectExtent l="19050" t="0" r="7620"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12130" cy="2141976"/>
                    </a:xfrm>
                    <a:prstGeom prst="rect">
                      <a:avLst/>
                    </a:prstGeom>
                    <a:noFill/>
                    <a:ln w="9525">
                      <a:noFill/>
                      <a:miter lim="800000"/>
                      <a:headEnd/>
                      <a:tailEnd/>
                    </a:ln>
                  </pic:spPr>
                </pic:pic>
              </a:graphicData>
            </a:graphic>
          </wp:inline>
        </w:drawing>
      </w:r>
    </w:p>
    <w:p w:rsidR="00235932" w:rsidRDefault="00235932" w:rsidP="00235932">
      <w:pPr>
        <w:spacing w:after="0" w:line="240" w:lineRule="auto"/>
        <w:ind w:left="708"/>
        <w:rPr>
          <w:sz w:val="20"/>
          <w:szCs w:val="20"/>
        </w:rPr>
      </w:pPr>
    </w:p>
    <w:p w:rsidR="00235932" w:rsidRDefault="00235932" w:rsidP="00235932">
      <w:pPr>
        <w:spacing w:after="0" w:line="240" w:lineRule="auto"/>
        <w:ind w:left="708"/>
        <w:rPr>
          <w:sz w:val="20"/>
          <w:szCs w:val="20"/>
        </w:rPr>
      </w:pPr>
      <w:r w:rsidRPr="00235932">
        <w:rPr>
          <w:sz w:val="20"/>
          <w:szCs w:val="20"/>
        </w:rPr>
        <w:t>Fuente: Informe de fiscalización Derecho de Acceso a la Información, de fecha 06 de Octubre de 2017</w:t>
      </w:r>
    </w:p>
    <w:p w:rsidR="004A36B1" w:rsidRDefault="004A36B1" w:rsidP="004A36B1">
      <w:pPr>
        <w:spacing w:after="0" w:line="240" w:lineRule="auto"/>
        <w:rPr>
          <w:sz w:val="20"/>
          <w:szCs w:val="20"/>
        </w:rPr>
      </w:pPr>
    </w:p>
    <w:p w:rsidR="004A36B1" w:rsidRDefault="004A36B1" w:rsidP="004A36B1">
      <w:pPr>
        <w:spacing w:after="0" w:line="240" w:lineRule="auto"/>
      </w:pPr>
    </w:p>
    <w:p w:rsidR="004A36B1" w:rsidRPr="004A36B1" w:rsidRDefault="004A36B1" w:rsidP="004A36B1">
      <w:pPr>
        <w:spacing w:after="0" w:line="240" w:lineRule="auto"/>
      </w:pPr>
      <w:r w:rsidRPr="004A36B1">
        <w:t xml:space="preserve">Es todo cuanto se informa, </w:t>
      </w:r>
      <w:r w:rsidR="003A633B">
        <w:t>me despido cordialmente</w:t>
      </w:r>
      <w:r w:rsidRPr="004A36B1">
        <w:t xml:space="preserve">, </w:t>
      </w:r>
    </w:p>
    <w:p w:rsidR="004A36B1" w:rsidRPr="004A36B1" w:rsidRDefault="004A36B1" w:rsidP="004A36B1">
      <w:pPr>
        <w:spacing w:after="0" w:line="240" w:lineRule="auto"/>
      </w:pPr>
    </w:p>
    <w:p w:rsidR="004A36B1" w:rsidRDefault="004A36B1" w:rsidP="004A36B1">
      <w:pPr>
        <w:spacing w:after="0" w:line="240" w:lineRule="auto"/>
        <w:rPr>
          <w:b/>
        </w:rPr>
      </w:pPr>
    </w:p>
    <w:p w:rsidR="0019757E" w:rsidRPr="004A36B1" w:rsidRDefault="0019757E" w:rsidP="004A36B1">
      <w:pPr>
        <w:spacing w:after="0" w:line="240" w:lineRule="auto"/>
        <w:rPr>
          <w:b/>
        </w:rPr>
      </w:pPr>
    </w:p>
    <w:p w:rsidR="004A36B1" w:rsidRPr="004A36B1" w:rsidRDefault="004A36B1" w:rsidP="004A36B1">
      <w:pPr>
        <w:spacing w:after="0" w:line="240" w:lineRule="auto"/>
        <w:jc w:val="center"/>
        <w:rPr>
          <w:b/>
        </w:rPr>
      </w:pPr>
      <w:r w:rsidRPr="004A36B1">
        <w:rPr>
          <w:b/>
        </w:rPr>
        <w:t>Laura Pulgar Aranda</w:t>
      </w:r>
    </w:p>
    <w:p w:rsidR="004A36B1" w:rsidRDefault="004A36B1" w:rsidP="004A36B1">
      <w:pPr>
        <w:spacing w:after="0" w:line="240" w:lineRule="auto"/>
        <w:jc w:val="center"/>
        <w:rPr>
          <w:b/>
        </w:rPr>
      </w:pPr>
      <w:r w:rsidRPr="004A36B1">
        <w:rPr>
          <w:b/>
        </w:rPr>
        <w:t>Encargada de Transparencia Municipal</w:t>
      </w:r>
    </w:p>
    <w:p w:rsidR="004A36B1" w:rsidRDefault="004A36B1" w:rsidP="004A36B1">
      <w:pPr>
        <w:spacing w:after="0" w:line="240" w:lineRule="auto"/>
        <w:jc w:val="center"/>
        <w:rPr>
          <w:b/>
        </w:rPr>
      </w:pPr>
    </w:p>
    <w:p w:rsidR="00702BE5" w:rsidRPr="004A36B1" w:rsidRDefault="004A36B1" w:rsidP="0019757E">
      <w:pPr>
        <w:spacing w:after="0" w:line="240" w:lineRule="auto"/>
        <w:jc w:val="both"/>
      </w:pPr>
      <w:r w:rsidRPr="004A36B1">
        <w:t>Cas</w:t>
      </w:r>
      <w:bookmarkStart w:id="0" w:name="_GoBack"/>
      <w:bookmarkEnd w:id="0"/>
      <w:r w:rsidRPr="004A36B1">
        <w:t xml:space="preserve">ablanca, </w:t>
      </w:r>
      <w:r w:rsidR="001D6238">
        <w:t>03 de abril de 2019</w:t>
      </w:r>
      <w:r w:rsidRPr="004A36B1">
        <w:t>.</w:t>
      </w:r>
    </w:p>
    <w:sectPr w:rsidR="00702BE5" w:rsidRPr="004A36B1" w:rsidSect="004A36B1">
      <w:headerReference w:type="default" r:id="rId15"/>
      <w:footerReference w:type="default" r:id="rId16"/>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10" w:rsidRDefault="00F71110" w:rsidP="007B641F">
      <w:pPr>
        <w:spacing w:after="0" w:line="240" w:lineRule="auto"/>
      </w:pPr>
      <w:r>
        <w:separator/>
      </w:r>
    </w:p>
  </w:endnote>
  <w:endnote w:type="continuationSeparator" w:id="1">
    <w:p w:rsidR="00F71110" w:rsidRDefault="00F71110" w:rsidP="007B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5146"/>
      <w:docPartObj>
        <w:docPartGallery w:val="Page Numbers (Bottom of Page)"/>
        <w:docPartUnique/>
      </w:docPartObj>
    </w:sdtPr>
    <w:sdtContent>
      <w:p w:rsidR="004A36B1" w:rsidRDefault="00E74915">
        <w:pPr>
          <w:pStyle w:val="Piedepgina"/>
          <w:jc w:val="right"/>
        </w:pPr>
        <w:r>
          <w:fldChar w:fldCharType="begin"/>
        </w:r>
        <w:r w:rsidR="002617B8">
          <w:instrText xml:space="preserve"> PAGE   \* MERGEFORMAT </w:instrText>
        </w:r>
        <w:r>
          <w:fldChar w:fldCharType="separate"/>
        </w:r>
        <w:r w:rsidR="001D6238">
          <w:rPr>
            <w:noProof/>
          </w:rPr>
          <w:t>7</w:t>
        </w:r>
        <w:r>
          <w:rPr>
            <w:noProof/>
          </w:rPr>
          <w:fldChar w:fldCharType="end"/>
        </w:r>
      </w:p>
    </w:sdtContent>
  </w:sdt>
  <w:p w:rsidR="004A36B1" w:rsidRDefault="004A36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10" w:rsidRDefault="00F71110" w:rsidP="007B641F">
      <w:pPr>
        <w:spacing w:after="0" w:line="240" w:lineRule="auto"/>
      </w:pPr>
      <w:r>
        <w:separator/>
      </w:r>
    </w:p>
  </w:footnote>
  <w:footnote w:type="continuationSeparator" w:id="1">
    <w:p w:rsidR="00F71110" w:rsidRDefault="00F71110" w:rsidP="007B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0" w:rsidRDefault="00A10B80" w:rsidP="00A10B80">
    <w:pPr>
      <w:pStyle w:val="Encabezado"/>
      <w:jc w:val="right"/>
    </w:pPr>
    <w:r>
      <w:t xml:space="preserve">Informe </w:t>
    </w:r>
    <w:r w:rsidR="0019757E">
      <w:t>Cuenta Pública</w:t>
    </w:r>
    <w:r>
      <w:t xml:space="preserve"> año 201</w:t>
    </w:r>
    <w:r w:rsidR="001D6238">
      <w:t>9</w:t>
    </w:r>
  </w:p>
  <w:p w:rsidR="004A36B1" w:rsidRDefault="00A10B80" w:rsidP="00A10B80">
    <w:pPr>
      <w:pStyle w:val="Encabezado"/>
      <w:jc w:val="right"/>
    </w:pPr>
    <w:r>
      <w:t>Unidad de Transparencia Municipal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7152F"/>
    <w:multiLevelType w:val="hybridMultilevel"/>
    <w:tmpl w:val="BB380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0F03"/>
    <w:rsid w:val="00052D70"/>
    <w:rsid w:val="000B6161"/>
    <w:rsid w:val="000C5B0D"/>
    <w:rsid w:val="001021D8"/>
    <w:rsid w:val="00122E2F"/>
    <w:rsid w:val="0019757E"/>
    <w:rsid w:val="001A1094"/>
    <w:rsid w:val="001D6238"/>
    <w:rsid w:val="00214238"/>
    <w:rsid w:val="00235932"/>
    <w:rsid w:val="002617B8"/>
    <w:rsid w:val="002E6184"/>
    <w:rsid w:val="002F1C09"/>
    <w:rsid w:val="003A633B"/>
    <w:rsid w:val="00437A1A"/>
    <w:rsid w:val="004431F5"/>
    <w:rsid w:val="004A36B1"/>
    <w:rsid w:val="004B2979"/>
    <w:rsid w:val="004C074A"/>
    <w:rsid w:val="00530B95"/>
    <w:rsid w:val="006232B2"/>
    <w:rsid w:val="00640B71"/>
    <w:rsid w:val="0064646D"/>
    <w:rsid w:val="006B5E68"/>
    <w:rsid w:val="006D0F03"/>
    <w:rsid w:val="00702BE5"/>
    <w:rsid w:val="007B641F"/>
    <w:rsid w:val="00840C4E"/>
    <w:rsid w:val="0085279B"/>
    <w:rsid w:val="008E04AC"/>
    <w:rsid w:val="0091391A"/>
    <w:rsid w:val="00930FD9"/>
    <w:rsid w:val="009C6F3E"/>
    <w:rsid w:val="009F66CD"/>
    <w:rsid w:val="00A10B80"/>
    <w:rsid w:val="00A5350D"/>
    <w:rsid w:val="00AD232D"/>
    <w:rsid w:val="00B257FC"/>
    <w:rsid w:val="00B63815"/>
    <w:rsid w:val="00BF38A0"/>
    <w:rsid w:val="00CF4E58"/>
    <w:rsid w:val="00D42BDC"/>
    <w:rsid w:val="00D65D1C"/>
    <w:rsid w:val="00D6762B"/>
    <w:rsid w:val="00DB77E4"/>
    <w:rsid w:val="00DC3EFA"/>
    <w:rsid w:val="00DD3C3C"/>
    <w:rsid w:val="00E74915"/>
    <w:rsid w:val="00E93B5F"/>
    <w:rsid w:val="00F51716"/>
    <w:rsid w:val="00F71110"/>
    <w:rsid w:val="00F935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61"/>
    <w:pPr>
      <w:ind w:left="720"/>
      <w:contextualSpacing/>
    </w:pPr>
  </w:style>
  <w:style w:type="character" w:customStyle="1" w:styleId="tematitle1">
    <w:name w:val="tema_title1"/>
    <w:basedOn w:val="Fuentedeprrafopredeter"/>
    <w:rsid w:val="0091391A"/>
    <w:rPr>
      <w:rFonts w:ascii="Open Sans" w:hAnsi="Open Sans" w:hint="default"/>
      <w:sz w:val="21"/>
      <w:szCs w:val="21"/>
    </w:rPr>
  </w:style>
  <w:style w:type="paragraph" w:styleId="Encabezado">
    <w:name w:val="header"/>
    <w:basedOn w:val="Normal"/>
    <w:link w:val="EncabezadoCar"/>
    <w:uiPriority w:val="99"/>
    <w:unhideWhenUsed/>
    <w:rsid w:val="007B6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41F"/>
  </w:style>
  <w:style w:type="paragraph" w:styleId="Piedepgina">
    <w:name w:val="footer"/>
    <w:basedOn w:val="Normal"/>
    <w:link w:val="PiedepginaCar"/>
    <w:uiPriority w:val="99"/>
    <w:unhideWhenUsed/>
    <w:rsid w:val="007B6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41F"/>
  </w:style>
  <w:style w:type="paragraph" w:styleId="Textodeglobo">
    <w:name w:val="Balloon Text"/>
    <w:basedOn w:val="Normal"/>
    <w:link w:val="TextodegloboCar"/>
    <w:uiPriority w:val="99"/>
    <w:semiHidden/>
    <w:unhideWhenUsed/>
    <w:rsid w:val="007B6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41F"/>
    <w:rPr>
      <w:rFonts w:ascii="Tahoma" w:hAnsi="Tahoma" w:cs="Tahoma"/>
      <w:sz w:val="16"/>
      <w:szCs w:val="16"/>
    </w:rPr>
  </w:style>
  <w:style w:type="table" w:styleId="Tablaconcuadrcula">
    <w:name w:val="Table Grid"/>
    <w:basedOn w:val="Tablanormal"/>
    <w:uiPriority w:val="59"/>
    <w:rsid w:val="00623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61"/>
    <w:pPr>
      <w:ind w:left="720"/>
      <w:contextualSpacing/>
    </w:pPr>
  </w:style>
  <w:style w:type="character" w:customStyle="1" w:styleId="tematitle1">
    <w:name w:val="tema_title1"/>
    <w:basedOn w:val="Fuentedeprrafopredeter"/>
    <w:rsid w:val="0091391A"/>
    <w:rPr>
      <w:rFonts w:ascii="Open Sans" w:hAnsi="Open Sans" w:hint="default"/>
      <w:sz w:val="21"/>
      <w:szCs w:val="21"/>
    </w:rPr>
  </w:style>
  <w:style w:type="paragraph" w:styleId="Encabezado">
    <w:name w:val="header"/>
    <w:basedOn w:val="Normal"/>
    <w:link w:val="EncabezadoCar"/>
    <w:uiPriority w:val="99"/>
    <w:unhideWhenUsed/>
    <w:rsid w:val="007B6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41F"/>
  </w:style>
  <w:style w:type="paragraph" w:styleId="Piedepgina">
    <w:name w:val="footer"/>
    <w:basedOn w:val="Normal"/>
    <w:link w:val="PiedepginaCar"/>
    <w:uiPriority w:val="99"/>
    <w:unhideWhenUsed/>
    <w:rsid w:val="007B6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41F"/>
  </w:style>
  <w:style w:type="paragraph" w:styleId="Textodeglobo">
    <w:name w:val="Balloon Text"/>
    <w:basedOn w:val="Normal"/>
    <w:link w:val="TextodegloboCar"/>
    <w:uiPriority w:val="99"/>
    <w:semiHidden/>
    <w:unhideWhenUsed/>
    <w:rsid w:val="007B6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41F"/>
    <w:rPr>
      <w:rFonts w:ascii="Tahoma" w:hAnsi="Tahoma" w:cs="Tahoma"/>
      <w:sz w:val="16"/>
      <w:szCs w:val="16"/>
    </w:rPr>
  </w:style>
  <w:style w:type="table" w:styleId="Tablaconcuadrcula">
    <w:name w:val="Table Grid"/>
    <w:basedOn w:val="Tablanormal"/>
    <w:uiPriority w:val="59"/>
    <w:rsid w:val="00623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95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lpulgar\AppData\Local\Microsoft\Windows\INetCache\IE\KQAHCJ4X\Listado%20Solicitudes%20por%20estado%20(1).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pulgar\AppData\Local\Microsoft\Windows\INetCache\IE\KQAHCJ4X\Listado%20Solicitudes%20por%20estado%20(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a:t>Tratamiento SAI </a:t>
            </a:r>
          </a:p>
        </c:rich>
      </c:tx>
    </c:title>
    <c:view3D>
      <c:rAngAx val="1"/>
    </c:view3D>
    <c:plotArea>
      <c:layout/>
      <c:bar3DChart>
        <c:barDir val="col"/>
        <c:grouping val="clustered"/>
        <c:ser>
          <c:idx val="0"/>
          <c:order val="0"/>
          <c:tx>
            <c:strRef>
              <c:f>Hoja2!$D$3</c:f>
              <c:strCache>
                <c:ptCount val="1"/>
                <c:pt idx="0">
                  <c:v>SAI 2017 </c:v>
                </c:pt>
              </c:strCache>
            </c:strRef>
          </c:tx>
          <c:dLbls>
            <c:showVal val="1"/>
          </c:dLbls>
          <c:cat>
            <c:strRef>
              <c:f>Hoja2!$C$4:$C$9</c:f>
              <c:strCache>
                <c:ptCount val="6"/>
                <c:pt idx="0">
                  <c:v>Ingresadas</c:v>
                </c:pt>
                <c:pt idx="1">
                  <c:v>Respuesta Entregada</c:v>
                </c:pt>
                <c:pt idx="2">
                  <c:v>Desistida</c:v>
                </c:pt>
                <c:pt idx="3">
                  <c:v>Anulada</c:v>
                </c:pt>
                <c:pt idx="4">
                  <c:v>Derivada</c:v>
                </c:pt>
                <c:pt idx="5">
                  <c:v>Espera de derechos de cobro</c:v>
                </c:pt>
              </c:strCache>
            </c:strRef>
          </c:cat>
          <c:val>
            <c:numRef>
              <c:f>Hoja2!$D$4:$D$9</c:f>
              <c:numCache>
                <c:formatCode>General</c:formatCode>
                <c:ptCount val="6"/>
                <c:pt idx="0">
                  <c:v>143</c:v>
                </c:pt>
                <c:pt idx="1">
                  <c:v>128</c:v>
                </c:pt>
                <c:pt idx="2">
                  <c:v>7</c:v>
                </c:pt>
                <c:pt idx="3">
                  <c:v>7</c:v>
                </c:pt>
                <c:pt idx="4">
                  <c:v>0</c:v>
                </c:pt>
                <c:pt idx="5">
                  <c:v>1</c:v>
                </c:pt>
              </c:numCache>
            </c:numRef>
          </c:val>
        </c:ser>
        <c:ser>
          <c:idx val="1"/>
          <c:order val="1"/>
          <c:tx>
            <c:strRef>
              <c:f>Hoja2!$E$3</c:f>
              <c:strCache>
                <c:ptCount val="1"/>
                <c:pt idx="0">
                  <c:v>SAI 2018</c:v>
                </c:pt>
              </c:strCache>
            </c:strRef>
          </c:tx>
          <c:dLbls>
            <c:showVal val="1"/>
          </c:dLbls>
          <c:cat>
            <c:strRef>
              <c:f>Hoja2!$C$4:$C$9</c:f>
              <c:strCache>
                <c:ptCount val="6"/>
                <c:pt idx="0">
                  <c:v>Ingresadas</c:v>
                </c:pt>
                <c:pt idx="1">
                  <c:v>Respuesta Entregada</c:v>
                </c:pt>
                <c:pt idx="2">
                  <c:v>Desistida</c:v>
                </c:pt>
                <c:pt idx="3">
                  <c:v>Anulada</c:v>
                </c:pt>
                <c:pt idx="4">
                  <c:v>Derivada</c:v>
                </c:pt>
                <c:pt idx="5">
                  <c:v>Espera de derechos de cobro</c:v>
                </c:pt>
              </c:strCache>
            </c:strRef>
          </c:cat>
          <c:val>
            <c:numRef>
              <c:f>Hoja2!$E$4:$E$9</c:f>
              <c:numCache>
                <c:formatCode>General</c:formatCode>
                <c:ptCount val="6"/>
                <c:pt idx="0">
                  <c:v>187</c:v>
                </c:pt>
                <c:pt idx="1">
                  <c:v>172</c:v>
                </c:pt>
                <c:pt idx="2">
                  <c:v>8</c:v>
                </c:pt>
                <c:pt idx="3">
                  <c:v>5</c:v>
                </c:pt>
                <c:pt idx="4">
                  <c:v>2</c:v>
                </c:pt>
                <c:pt idx="5">
                  <c:v>0</c:v>
                </c:pt>
              </c:numCache>
            </c:numRef>
          </c:val>
        </c:ser>
        <c:dLbls>
          <c:showVal val="1"/>
        </c:dLbls>
        <c:shape val="box"/>
        <c:axId val="71573504"/>
        <c:axId val="71575040"/>
        <c:axId val="0"/>
      </c:bar3DChart>
      <c:catAx>
        <c:axId val="71573504"/>
        <c:scaling>
          <c:orientation val="minMax"/>
        </c:scaling>
        <c:axPos val="b"/>
        <c:majorTickMark val="none"/>
        <c:tickLblPos val="nextTo"/>
        <c:crossAx val="71575040"/>
        <c:crosses val="autoZero"/>
        <c:auto val="1"/>
        <c:lblAlgn val="ctr"/>
        <c:lblOffset val="100"/>
      </c:catAx>
      <c:valAx>
        <c:axId val="71575040"/>
        <c:scaling>
          <c:orientation val="minMax"/>
        </c:scaling>
        <c:delete val="1"/>
        <c:axPos val="l"/>
        <c:numFmt formatCode="General" sourceLinked="1"/>
        <c:majorTickMark val="none"/>
        <c:tickLblPos val="nextTo"/>
        <c:crossAx val="71573504"/>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tx>
            <c:strRef>
              <c:f>Hoja3!$I$3</c:f>
              <c:strCache>
                <c:ptCount val="1"/>
                <c:pt idx="0">
                  <c:v>Año 2017</c:v>
                </c:pt>
              </c:strCache>
            </c:strRef>
          </c:tx>
          <c:dLbls>
            <c:showVal val="1"/>
          </c:dLbls>
          <c:cat>
            <c:strRef>
              <c:f>Hoja3!$H$4:$H$19</c:f>
              <c:strCache>
                <c:ptCount val="16"/>
                <c:pt idx="0">
                  <c:v>Dirección de Administración y Finanzas</c:v>
                </c:pt>
                <c:pt idx="1">
                  <c:v>Asesoría Jurídica</c:v>
                </c:pt>
                <c:pt idx="2">
                  <c:v>DIDECO</c:v>
                </c:pt>
                <c:pt idx="3">
                  <c:v>Departamento de Educación</c:v>
                </c:pt>
                <c:pt idx="4">
                  <c:v>Dirección de Salud</c:v>
                </c:pt>
                <c:pt idx="5">
                  <c:v>Dirección de Tránsito</c:v>
                </c:pt>
                <c:pt idx="6">
                  <c:v>Dirección de Aseo y Ornato</c:v>
                </c:pt>
                <c:pt idx="7">
                  <c:v>DOM</c:v>
                </c:pt>
                <c:pt idx="8">
                  <c:v>RRHH</c:v>
                </c:pt>
                <c:pt idx="9">
                  <c:v>RRPP</c:v>
                </c:pt>
                <c:pt idx="10">
                  <c:v>SECPLA</c:v>
                </c:pt>
                <c:pt idx="11">
                  <c:v>Dirección de Control</c:v>
                </c:pt>
                <c:pt idx="12">
                  <c:v>Secretaría Municipal</c:v>
                </c:pt>
                <c:pt idx="13">
                  <c:v>Administración Municipal</c:v>
                </c:pt>
                <c:pt idx="14">
                  <c:v>Juzgado de Policía Local</c:v>
                </c:pt>
                <c:pt idx="15">
                  <c:v>Seguridad Pública</c:v>
                </c:pt>
              </c:strCache>
            </c:strRef>
          </c:cat>
          <c:val>
            <c:numRef>
              <c:f>Hoja3!$I$4:$I$19</c:f>
              <c:numCache>
                <c:formatCode>General</c:formatCode>
                <c:ptCount val="16"/>
                <c:pt idx="0">
                  <c:v>15</c:v>
                </c:pt>
                <c:pt idx="1">
                  <c:v>6</c:v>
                </c:pt>
                <c:pt idx="2">
                  <c:v>30</c:v>
                </c:pt>
                <c:pt idx="3">
                  <c:v>17</c:v>
                </c:pt>
                <c:pt idx="4">
                  <c:v>7</c:v>
                </c:pt>
                <c:pt idx="5">
                  <c:v>4</c:v>
                </c:pt>
                <c:pt idx="6">
                  <c:v>13</c:v>
                </c:pt>
                <c:pt idx="7">
                  <c:v>18</c:v>
                </c:pt>
                <c:pt idx="8">
                  <c:v>19</c:v>
                </c:pt>
                <c:pt idx="9">
                  <c:v>3</c:v>
                </c:pt>
                <c:pt idx="10">
                  <c:v>4</c:v>
                </c:pt>
                <c:pt idx="11">
                  <c:v>1</c:v>
                </c:pt>
                <c:pt idx="12">
                  <c:v>8</c:v>
                </c:pt>
                <c:pt idx="13">
                  <c:v>1</c:v>
                </c:pt>
                <c:pt idx="14">
                  <c:v>1</c:v>
                </c:pt>
                <c:pt idx="15">
                  <c:v>0</c:v>
                </c:pt>
              </c:numCache>
            </c:numRef>
          </c:val>
        </c:ser>
        <c:ser>
          <c:idx val="1"/>
          <c:order val="1"/>
          <c:tx>
            <c:strRef>
              <c:f>Hoja3!$J$3</c:f>
              <c:strCache>
                <c:ptCount val="1"/>
                <c:pt idx="0">
                  <c:v>Año 2018</c:v>
                </c:pt>
              </c:strCache>
            </c:strRef>
          </c:tx>
          <c:dLbls>
            <c:showVal val="1"/>
          </c:dLbls>
          <c:cat>
            <c:strRef>
              <c:f>Hoja3!$H$4:$H$19</c:f>
              <c:strCache>
                <c:ptCount val="16"/>
                <c:pt idx="0">
                  <c:v>Dirección de Administración y Finanzas</c:v>
                </c:pt>
                <c:pt idx="1">
                  <c:v>Asesoría Jurídica</c:v>
                </c:pt>
                <c:pt idx="2">
                  <c:v>DIDECO</c:v>
                </c:pt>
                <c:pt idx="3">
                  <c:v>Departamento de Educación</c:v>
                </c:pt>
                <c:pt idx="4">
                  <c:v>Dirección de Salud</c:v>
                </c:pt>
                <c:pt idx="5">
                  <c:v>Dirección de Tránsito</c:v>
                </c:pt>
                <c:pt idx="6">
                  <c:v>Dirección de Aseo y Ornato</c:v>
                </c:pt>
                <c:pt idx="7">
                  <c:v>DOM</c:v>
                </c:pt>
                <c:pt idx="8">
                  <c:v>RRHH</c:v>
                </c:pt>
                <c:pt idx="9">
                  <c:v>RRPP</c:v>
                </c:pt>
                <c:pt idx="10">
                  <c:v>SECPLA</c:v>
                </c:pt>
                <c:pt idx="11">
                  <c:v>Dirección de Control</c:v>
                </c:pt>
                <c:pt idx="12">
                  <c:v>Secretaría Municipal</c:v>
                </c:pt>
                <c:pt idx="13">
                  <c:v>Administración Municipal</c:v>
                </c:pt>
                <c:pt idx="14">
                  <c:v>Juzgado de Policía Local</c:v>
                </c:pt>
                <c:pt idx="15">
                  <c:v>Seguridad Pública</c:v>
                </c:pt>
              </c:strCache>
            </c:strRef>
          </c:cat>
          <c:val>
            <c:numRef>
              <c:f>Hoja3!$J$4:$J$19</c:f>
              <c:numCache>
                <c:formatCode>General</c:formatCode>
                <c:ptCount val="16"/>
                <c:pt idx="0">
                  <c:v>11</c:v>
                </c:pt>
                <c:pt idx="1">
                  <c:v>5</c:v>
                </c:pt>
                <c:pt idx="2">
                  <c:v>18</c:v>
                </c:pt>
                <c:pt idx="3">
                  <c:v>1</c:v>
                </c:pt>
                <c:pt idx="4">
                  <c:v>2</c:v>
                </c:pt>
                <c:pt idx="5">
                  <c:v>5</c:v>
                </c:pt>
                <c:pt idx="6">
                  <c:v>16</c:v>
                </c:pt>
                <c:pt idx="7">
                  <c:v>9</c:v>
                </c:pt>
                <c:pt idx="8">
                  <c:v>8</c:v>
                </c:pt>
                <c:pt idx="9">
                  <c:v>3</c:v>
                </c:pt>
                <c:pt idx="10">
                  <c:v>3</c:v>
                </c:pt>
                <c:pt idx="11">
                  <c:v>1</c:v>
                </c:pt>
                <c:pt idx="12">
                  <c:v>0</c:v>
                </c:pt>
                <c:pt idx="13">
                  <c:v>0</c:v>
                </c:pt>
                <c:pt idx="14">
                  <c:v>2</c:v>
                </c:pt>
                <c:pt idx="15">
                  <c:v>2</c:v>
                </c:pt>
              </c:numCache>
            </c:numRef>
          </c:val>
        </c:ser>
        <c:dLbls>
          <c:showVal val="1"/>
        </c:dLbls>
        <c:gapWidth val="75"/>
        <c:axId val="118595584"/>
        <c:axId val="118597504"/>
      </c:barChart>
      <c:catAx>
        <c:axId val="118595584"/>
        <c:scaling>
          <c:orientation val="minMax"/>
        </c:scaling>
        <c:axPos val="b"/>
        <c:majorTickMark val="none"/>
        <c:tickLblPos val="nextTo"/>
        <c:crossAx val="118597504"/>
        <c:crosses val="autoZero"/>
        <c:auto val="1"/>
        <c:lblAlgn val="ctr"/>
        <c:lblOffset val="100"/>
      </c:catAx>
      <c:valAx>
        <c:axId val="118597504"/>
        <c:scaling>
          <c:orientation val="minMax"/>
        </c:scaling>
        <c:axPos val="l"/>
        <c:numFmt formatCode="General" sourceLinked="1"/>
        <c:majorTickMark val="none"/>
        <c:tickLblPos val="nextTo"/>
        <c:crossAx val="118595584"/>
        <c:crosses val="autoZero"/>
        <c:crossBetween val="between"/>
      </c:valAx>
    </c:plotArea>
    <c:legend>
      <c:legendPos val="b"/>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20D9-4BB8-4075-8AAE-3340FEF4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3</cp:revision>
  <dcterms:created xsi:type="dcterms:W3CDTF">2019-04-03T14:55:00Z</dcterms:created>
  <dcterms:modified xsi:type="dcterms:W3CDTF">2019-04-03T16:31:00Z</dcterms:modified>
</cp:coreProperties>
</file>